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Modulo FIN-NET per i reclami transfrontalieri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Quando utilizzare il presente modulo - </w:t>
      </w:r>
      <w:r>
        <w:rPr>
          <w:rFonts w:ascii="Arial" w:hAnsi="Arial"/>
        </w:rPr>
        <w:t>Utilizza questo modulo se: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vivi in un paese dello Spazio economico europeo (tutti i paesi dell’UE più Islanda, Liechtenstein e Norvegia)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vuoi sporgere un reclamo contro un fornitore di servizi finanziari di un altro paese dello Spazio economico europeo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hai reclamato presso il fornitore, ma sei ancora insoddisfatto e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vuoi sapere quale organismo di risoluzione extragiudiziale delle controversie potrebbe essere in grado di risolvere la controversia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Come utilizzare il presente modulo - </w:t>
      </w:r>
      <w:r>
        <w:rPr>
          <w:rFonts w:ascii="Arial" w:hAnsi="Arial"/>
        </w:rPr>
        <w:t>Completa le informazioni richieste di seguito e invia il modulo per e-mail o per posta ordinaria al pertinente organismo di risoluzione delle controversie: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nel tuo paese o 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nel paese del fornitore di servizi finanziari  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Un elenco degli organismi di risoluzione delle controversie presenti in ogni paese, insieme alle loro competenze, è consultabile sul </w:t>
      </w:r>
      <w:hyperlink r:id="rId5">
        <w:r w:rsidR="00404890">
          <w:rPr>
            <w:rStyle w:val="Hyperlink"/>
            <w:rFonts w:ascii="Arial" w:hAnsi="Arial"/>
          </w:rPr>
          <w:t>sito FIN-NET</w:t>
        </w:r>
      </w:hyperlink>
      <w:r>
        <w:rPr>
          <w:rFonts w:ascii="Arial" w:hAnsi="Arial"/>
        </w:rPr>
        <w:t>. Si consiglia di allegare una copia dei documenti essenziali, in particolare qualsiasi risposta scritta del fornitore in seguito al tuo reclamo.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Quale lingua usare - </w:t>
      </w:r>
      <w:r>
        <w:rPr>
          <w:rFonts w:ascii="Arial" w:hAnsi="Arial"/>
        </w:rPr>
        <w:t>Consulta l’</w:t>
      </w:r>
      <w:hyperlink r:id="rId6">
        <w:r>
          <w:rPr>
            <w:rStyle w:val="Hyperlink"/>
            <w:rFonts w:ascii="Arial" w:hAnsi="Arial"/>
          </w:rPr>
          <w:t>elenco dei membri di FIN-NET</w:t>
        </w:r>
      </w:hyperlink>
      <w:r>
        <w:t xml:space="preserve"> </w:t>
      </w:r>
      <w:r>
        <w:rPr>
          <w:rFonts w:ascii="Arial" w:hAnsi="Arial"/>
        </w:rPr>
        <w:t xml:space="preserve"> per sapere quali lingue sono in grado di gestire i diversi organismi di risoluzione. Compila il modulo in una di queste lingue. Ad esempio, se decidi di inviare il modulo a un membro FIN-NET in grado di gestire francese e inglese, compila la versione in francese o in inglese del modulo di contatto. </w:t>
      </w:r>
      <w:hyperlink r:id="rId7">
        <w:r>
          <w:rPr>
            <w:rStyle w:val="Hyperlink"/>
            <w:rFonts w:ascii="Arial" w:hAnsi="Arial"/>
          </w:rPr>
          <w:t>Puoi trovare qui il modulo in tutte le lingue disponibili.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14CFE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>Cosa avviene in seguito</w:t>
      </w:r>
      <w:r w:rsidR="008C5ED6">
        <w:rPr>
          <w:rFonts w:ascii="Arial" w:hAnsi="Arial"/>
          <w:b/>
        </w:rPr>
        <w:t xml:space="preserve"> - </w:t>
      </w:r>
      <w:r w:rsidR="008C5ED6">
        <w:rPr>
          <w:rFonts w:ascii="Arial" w:hAnsi="Arial"/>
        </w:rPr>
        <w:t xml:space="preserve">Il membro FIN-NET ti farà sapere se è in grado di risolvere il problema, oppure </w:t>
      </w:r>
      <w:r>
        <w:rPr>
          <w:rFonts w:ascii="Arial" w:hAnsi="Arial"/>
        </w:rPr>
        <w:t xml:space="preserve">ti </w:t>
      </w:r>
      <w:r w:rsidR="008C5ED6">
        <w:rPr>
          <w:rFonts w:ascii="Arial" w:hAnsi="Arial"/>
        </w:rPr>
        <w:t>indic</w:t>
      </w:r>
      <w:r>
        <w:rPr>
          <w:rFonts w:ascii="Arial" w:hAnsi="Arial"/>
        </w:rPr>
        <w:t>herà</w:t>
      </w:r>
      <w:r w:rsidR="008C5ED6">
        <w:rPr>
          <w:rFonts w:ascii="Arial" w:hAnsi="Arial"/>
        </w:rPr>
        <w:t xml:space="preserve"> un altro membro della rete cui rivolgerti. L’organismo di risoluzione delle controversie che prende in esame il tuo reclamo potrebbe chiederti di fornire ulteriori informazioni o di compilare prima il suo modulo di reclamo, in modo da poter valutare adeguatamente il tuo caso.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972329">
        <w:tc>
          <w:tcPr>
            <w:tcW w:w="3936" w:type="dxa"/>
            <w:vAlign w:val="center"/>
          </w:tcPr>
          <w:p w:rsidR="008C5ED6" w:rsidRPr="008C2D3F" w:rsidRDefault="00972329" w:rsidP="00972329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972329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Modulo FIN-NET per i reclami transfrontalieri riguardanti servizi finanziari</w:t>
            </w:r>
          </w:p>
          <w:p w:rsidR="00900382" w:rsidRDefault="00900382" w:rsidP="00972329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972329" w:rsidP="00972329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814CFE">
                <w:rPr>
                  <w:rStyle w:val="Hyperlink"/>
                  <w:i/>
                </w:rPr>
                <w:t>Altre versioni linguistiche sono disponibili qui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Informazioni sul ricorrente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Paese in cui vivi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Cittadinanza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Indirizzo completo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Numero di telefono durante il giorno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Indirizzo e-mail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Informazioni sul fornitore di servizi finanziari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 per esteso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Tipo di attività (ad esempio, banca, assicuratore)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Indirizzo completo dell'ufficio </w:t>
            </w:r>
            <w:r w:rsidR="00833072">
              <w:rPr>
                <w:rFonts w:ascii="Arial" w:hAnsi="Arial"/>
              </w:rPr>
              <w:t>con cui sei entrato in contatto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Numero di telefono, numero di fax e indirizzo di posta elettronica del suddetto ufficio (facoltativo)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Paese in cui si trova l’ufficio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Informazioni sul reclamo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Breve sintesi dell’oggetto del reclamo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dei fatti che hanno generato la controversia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Riferimenti del contratto, ad esempio il numero di polizza assicurativa (se possibile, allegare una copia del contratto)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di presentazione del reclamo al fornitore (se possibile, allegare una copia del messaggio inviato al fornitore)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dell’ultima risposta del fornitore (se possibile, allegare una copia della risposta)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Hai avviato altre procedure (tribunale,  collegio arbitrale...) riguardo agli stessi fatti?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C4074" w:rsidRDefault="00972329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4536"/>
    <w:rsid w:val="001D74BD"/>
    <w:rsid w:val="003C1B1C"/>
    <w:rsid w:val="00404890"/>
    <w:rsid w:val="004152DC"/>
    <w:rsid w:val="00814CFE"/>
    <w:rsid w:val="00832F59"/>
    <w:rsid w:val="00833072"/>
    <w:rsid w:val="00873885"/>
    <w:rsid w:val="008B7795"/>
    <w:rsid w:val="008C2D3F"/>
    <w:rsid w:val="008C5ED6"/>
    <w:rsid w:val="00900382"/>
    <w:rsid w:val="00922B73"/>
    <w:rsid w:val="00972329"/>
    <w:rsid w:val="009C76B3"/>
    <w:rsid w:val="00A17E17"/>
    <w:rsid w:val="00A409A5"/>
    <w:rsid w:val="00B87B17"/>
    <w:rsid w:val="00D33D87"/>
    <w:rsid w:val="00D768D4"/>
    <w:rsid w:val="00E27793"/>
    <w:rsid w:val="00F02679"/>
    <w:rsid w:val="00F407E4"/>
    <w:rsid w:val="00F4161D"/>
    <w:rsid w:val="00F422DD"/>
    <w:rsid w:val="00F5368E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A22A-CE82-449B-8E50-CB3409B4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561</Words>
  <Characters>3147</Characters>
  <Application>Microsoft Office Word</Application>
  <DocSecurity>0</DocSecurity>
  <Lines>149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FIN-NET per i reclami transfrontalieri</dc:title>
  <dc:subject>Modulo FIN-NET per i reclami transfrontalieri</dc:subject>
  <dc:creator>FIN-NET</dc:creator>
  <cp:lastModifiedBy>CAPRASSE Michel (FISMA)</cp:lastModifiedBy>
  <cp:revision>10</cp:revision>
  <dcterms:created xsi:type="dcterms:W3CDTF">2017-03-30T13:18:00Z</dcterms:created>
  <dcterms:modified xsi:type="dcterms:W3CDTF">2021-04-16T12:55:00Z</dcterms:modified>
</cp:coreProperties>
</file>